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F6" w:rsidRDefault="00FD77F6" w:rsidP="00FD77F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АДМИНИСТРАЦИЯ</w:t>
      </w:r>
    </w:p>
    <w:p w:rsidR="00FD77F6" w:rsidRDefault="00FD77F6" w:rsidP="00FD77F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ОСИНОВСКОГО МУНИЦИПАЛЬНОГО ОБРАЗОВАНИЯ</w:t>
      </w:r>
    </w:p>
    <w:p w:rsidR="00FD77F6" w:rsidRDefault="00FD77F6" w:rsidP="00FD77F6">
      <w:pPr>
        <w:pBdr>
          <w:bottom w:val="single" w:sz="8" w:space="1" w:color="000000"/>
        </w:pBd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МАРКСОВСКОГО МУНИЦИПАЛЬНОГО РАЙОНА  </w:t>
      </w:r>
      <w:r>
        <w:rPr>
          <w:rFonts w:ascii="Times New Roman" w:hAnsi="Times New Roman"/>
          <w:b/>
          <w:sz w:val="24"/>
          <w:szCs w:val="28"/>
        </w:rPr>
        <w:br/>
        <w:t>САРАТОВСКОЙ ОБЛАСТИ</w:t>
      </w:r>
    </w:p>
    <w:p w:rsidR="00FD77F6" w:rsidRDefault="00FD77F6" w:rsidP="00FD77F6">
      <w:pPr>
        <w:jc w:val="center"/>
      </w:pPr>
    </w:p>
    <w:p w:rsidR="00FD77F6" w:rsidRPr="002401D4" w:rsidRDefault="00FD77F6" w:rsidP="00FD77F6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01D4">
        <w:rPr>
          <w:rFonts w:ascii="Times New Roman" w:hAnsi="Times New Roman"/>
          <w:b/>
          <w:sz w:val="24"/>
          <w:szCs w:val="24"/>
          <w:lang w:val="ru-RU"/>
        </w:rPr>
        <w:t xml:space="preserve">РАСПОРЯЖЕНИЕ </w:t>
      </w:r>
    </w:p>
    <w:p w:rsidR="00FD77F6" w:rsidRPr="002401D4" w:rsidRDefault="00FD77F6" w:rsidP="00FD77F6">
      <w:pPr>
        <w:pStyle w:val="a3"/>
        <w:ind w:right="-1" w:firstLine="5245"/>
        <w:rPr>
          <w:rFonts w:ascii="Times New Roman" w:hAnsi="Times New Roman"/>
          <w:b/>
          <w:sz w:val="24"/>
          <w:szCs w:val="24"/>
          <w:lang w:val="ru-RU"/>
        </w:rPr>
      </w:pPr>
    </w:p>
    <w:p w:rsidR="00FD77F6" w:rsidRPr="002401D4" w:rsidRDefault="00FD77F6" w:rsidP="00FD77F6">
      <w:pPr>
        <w:pStyle w:val="a3"/>
        <w:ind w:right="-1" w:firstLine="5245"/>
        <w:rPr>
          <w:rFonts w:ascii="Times New Roman" w:hAnsi="Times New Roman"/>
          <w:b/>
          <w:sz w:val="24"/>
          <w:szCs w:val="24"/>
          <w:lang w:val="ru-RU"/>
        </w:rPr>
      </w:pPr>
    </w:p>
    <w:p w:rsidR="00FD77F6" w:rsidRPr="002401D4" w:rsidRDefault="00FD77F6" w:rsidP="00FD77F6">
      <w:pPr>
        <w:pStyle w:val="a3"/>
        <w:ind w:right="-1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 28.01.2022 г. № 19а-р</w:t>
      </w:r>
    </w:p>
    <w:p w:rsidR="00FD77F6" w:rsidRPr="002401D4" w:rsidRDefault="00FD77F6" w:rsidP="00FD77F6">
      <w:pPr>
        <w:pStyle w:val="a3"/>
        <w:ind w:right="-1" w:firstLine="5245"/>
        <w:rPr>
          <w:rFonts w:ascii="Times New Roman" w:hAnsi="Times New Roman"/>
          <w:sz w:val="24"/>
          <w:szCs w:val="24"/>
          <w:lang w:val="ru-RU"/>
        </w:rPr>
      </w:pPr>
    </w:p>
    <w:p w:rsidR="00FD77F6" w:rsidRPr="002401D4" w:rsidRDefault="00FD77F6" w:rsidP="00FD77F6">
      <w:pPr>
        <w:pStyle w:val="a3"/>
        <w:ind w:right="-1" w:firstLine="5245"/>
        <w:rPr>
          <w:rFonts w:ascii="Times New Roman" w:hAnsi="Times New Roman"/>
          <w:sz w:val="24"/>
          <w:szCs w:val="24"/>
          <w:lang w:val="ru-RU"/>
        </w:rPr>
      </w:pPr>
    </w:p>
    <w:p w:rsidR="00FD77F6" w:rsidRPr="00ED3971" w:rsidRDefault="00FD77F6" w:rsidP="00FD77F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D3971"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объектов, </w:t>
      </w:r>
    </w:p>
    <w:p w:rsidR="00FD77F6" w:rsidRPr="00ED3971" w:rsidRDefault="00FD77F6" w:rsidP="00FD77F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D3971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ED3971">
        <w:rPr>
          <w:rFonts w:ascii="Times New Roman" w:hAnsi="Times New Roman"/>
          <w:sz w:val="28"/>
          <w:szCs w:val="28"/>
          <w:lang w:val="ru-RU"/>
        </w:rPr>
        <w:t>отношении</w:t>
      </w:r>
      <w:proofErr w:type="gramEnd"/>
      <w:r w:rsidRPr="00ED3971">
        <w:rPr>
          <w:rFonts w:ascii="Times New Roman" w:hAnsi="Times New Roman"/>
          <w:sz w:val="28"/>
          <w:szCs w:val="28"/>
          <w:lang w:val="ru-RU"/>
        </w:rPr>
        <w:t xml:space="preserve"> которых планируется </w:t>
      </w:r>
    </w:p>
    <w:p w:rsidR="00FD77F6" w:rsidRPr="00ED3971" w:rsidRDefault="00FD77F6" w:rsidP="00FD77F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D3971">
        <w:rPr>
          <w:rFonts w:ascii="Times New Roman" w:hAnsi="Times New Roman"/>
          <w:sz w:val="28"/>
          <w:szCs w:val="28"/>
          <w:lang w:val="ru-RU"/>
        </w:rPr>
        <w:t>заключение концессионных соглашений на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Pr="00ED3971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FD77F6" w:rsidRDefault="00FD77F6" w:rsidP="00FD77F6">
      <w:pPr>
        <w:pStyle w:val="a3"/>
        <w:ind w:right="3543"/>
        <w:rPr>
          <w:rFonts w:ascii="Times New Roman" w:hAnsi="Times New Roman"/>
          <w:b/>
          <w:sz w:val="28"/>
          <w:szCs w:val="24"/>
          <w:lang w:val="ru-RU"/>
        </w:rPr>
      </w:pPr>
    </w:p>
    <w:p w:rsidR="00FD77F6" w:rsidRDefault="00FD77F6" w:rsidP="00FD77F6">
      <w:pPr>
        <w:pStyle w:val="a3"/>
        <w:ind w:right="3543"/>
        <w:rPr>
          <w:rFonts w:ascii="Times New Roman" w:hAnsi="Times New Roman"/>
          <w:b/>
          <w:sz w:val="28"/>
          <w:szCs w:val="24"/>
          <w:lang w:val="ru-RU"/>
        </w:rPr>
      </w:pPr>
    </w:p>
    <w:p w:rsidR="00FD77F6" w:rsidRDefault="00FD77F6" w:rsidP="00FD77F6">
      <w:pPr>
        <w:pStyle w:val="a3"/>
        <w:ind w:right="3543"/>
        <w:rPr>
          <w:rFonts w:ascii="Times New Roman" w:hAnsi="Times New Roman"/>
          <w:b/>
          <w:sz w:val="28"/>
          <w:szCs w:val="24"/>
          <w:lang w:val="ru-RU"/>
        </w:rPr>
      </w:pPr>
    </w:p>
    <w:p w:rsidR="00FD77F6" w:rsidRPr="00ED3971" w:rsidRDefault="00FD77F6" w:rsidP="00FD77F6">
      <w:pPr>
        <w:jc w:val="both"/>
        <w:rPr>
          <w:rFonts w:ascii="Times New Roman" w:hAnsi="Times New Roman" w:cs="Times New Roman"/>
          <w:sz w:val="28"/>
          <w:szCs w:val="28"/>
        </w:rPr>
      </w:pPr>
      <w:r w:rsidRPr="00521F4E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Pr="00521F4E">
        <w:rPr>
          <w:rFonts w:ascii="Times New Roman" w:eastAsia="Times New Roman" w:hAnsi="Times New Roman" w:cs="Times New Roman"/>
          <w:sz w:val="28"/>
          <w:szCs w:val="28"/>
        </w:rPr>
        <w:t xml:space="preserve"> частью 3 </w:t>
      </w:r>
      <w:hyperlink r:id="rId5" w:history="1">
        <w:r w:rsidRPr="00521F4E">
          <w:rPr>
            <w:rFonts w:ascii="Times New Roman" w:eastAsia="Times New Roman" w:hAnsi="Times New Roman" w:cs="Times New Roman"/>
            <w:sz w:val="28"/>
            <w:szCs w:val="28"/>
          </w:rPr>
          <w:t>статьи 4 Федерального закона № 115-ФЗ  "О концессионных соглашениях"</w:t>
        </w:r>
      </w:hyperlink>
      <w:r w:rsidRPr="00ED39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3971">
        <w:rPr>
          <w:rFonts w:ascii="Times New Roman" w:hAnsi="Times New Roman" w:cs="Times New Roman"/>
          <w:sz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ED397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образования,</w:t>
      </w:r>
    </w:p>
    <w:p w:rsidR="00FD77F6" w:rsidRPr="002E664B" w:rsidRDefault="00FD77F6" w:rsidP="00FD77F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E66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Утвердить прилагаемый перечень объектов, в отношении которых планируется заключение концессионных соглашений на территории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Осиновского муниципального образования Марксовского муниципального района </w:t>
      </w:r>
      <w:r w:rsidRPr="002E66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Саратовской области 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2022</w:t>
      </w:r>
      <w:r w:rsidRPr="002E66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год.</w:t>
      </w:r>
    </w:p>
    <w:p w:rsidR="00FD77F6" w:rsidRPr="00521F4E" w:rsidRDefault="00FD77F6" w:rsidP="00FD77F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21F4E">
        <w:rPr>
          <w:rFonts w:ascii="Times New Roman" w:hAnsi="Times New Roman"/>
          <w:sz w:val="28"/>
          <w:szCs w:val="28"/>
          <w:lang w:val="ru-RU"/>
        </w:rPr>
        <w:t xml:space="preserve">Обнародовать настоящее распоряжение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Осиновского</w:t>
      </w:r>
      <w:r w:rsidRPr="00521F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1F4E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Мар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ксовского муниципального района.</w:t>
      </w: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Pr="00140718" w:rsidRDefault="00FD77F6" w:rsidP="00FD77F6">
      <w:pPr>
        <w:pStyle w:val="a4"/>
        <w:ind w:left="765" w:hanging="339"/>
        <w:rPr>
          <w:rFonts w:ascii="Times New Roman" w:hAnsi="Times New Roman"/>
          <w:b/>
          <w:sz w:val="28"/>
          <w:szCs w:val="28"/>
          <w:lang w:val="ru-RU"/>
        </w:rPr>
      </w:pPr>
      <w:r w:rsidRPr="00140718">
        <w:rPr>
          <w:rFonts w:ascii="Times New Roman" w:hAnsi="Times New Roman"/>
          <w:b/>
          <w:sz w:val="28"/>
          <w:szCs w:val="28"/>
          <w:lang w:val="ru-RU"/>
        </w:rPr>
        <w:t>Глава Осиновского</w:t>
      </w:r>
    </w:p>
    <w:p w:rsidR="00FD77F6" w:rsidRPr="00140718" w:rsidRDefault="00FD77F6" w:rsidP="00FD77F6">
      <w:pPr>
        <w:pStyle w:val="a4"/>
        <w:ind w:left="765" w:hanging="339"/>
        <w:rPr>
          <w:rFonts w:ascii="Times New Roman" w:hAnsi="Times New Roman"/>
          <w:b/>
          <w:sz w:val="28"/>
          <w:szCs w:val="28"/>
          <w:lang w:val="ru-RU"/>
        </w:rPr>
      </w:pPr>
      <w:r w:rsidRPr="00140718">
        <w:rPr>
          <w:rFonts w:ascii="Times New Roman" w:hAnsi="Times New Roman"/>
          <w:b/>
          <w:sz w:val="28"/>
          <w:szCs w:val="28"/>
          <w:lang w:val="ru-RU"/>
        </w:rPr>
        <w:t>муниципального  образования                                         О.В. Иванова</w:t>
      </w: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Default="00FD77F6" w:rsidP="00FD77F6">
      <w:pPr>
        <w:pStyle w:val="a4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FD77F6" w:rsidRDefault="00FD77F6" w:rsidP="00FD77F6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  <w:sectPr w:rsidR="00FD77F6" w:rsidSect="00E56C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7F6" w:rsidRDefault="00FD77F6" w:rsidP="00FD77F6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D77F6" w:rsidRPr="00521F4E" w:rsidRDefault="00FD77F6" w:rsidP="00FD77F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21F4E">
        <w:rPr>
          <w:rFonts w:ascii="Times New Roman" w:hAnsi="Times New Roman"/>
          <w:lang w:val="ru-RU" w:bidi="ar-SA"/>
        </w:rPr>
        <w:t>УТВЕР</w:t>
      </w:r>
      <w:r w:rsidRPr="00521F4E">
        <w:rPr>
          <w:rFonts w:ascii="Times New Roman" w:hAnsi="Times New Roman"/>
          <w:lang w:val="ru-RU"/>
        </w:rPr>
        <w:t>ЖДЕН</w:t>
      </w:r>
      <w:proofErr w:type="gramEnd"/>
      <w:r w:rsidRPr="00521F4E"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>распоряжением а</w:t>
      </w:r>
      <w:r w:rsidRPr="00521F4E">
        <w:rPr>
          <w:rFonts w:ascii="Times New Roman" w:hAnsi="Times New Roman"/>
          <w:sz w:val="24"/>
          <w:szCs w:val="24"/>
          <w:lang w:val="ru-RU"/>
        </w:rPr>
        <w:t xml:space="preserve">дминистрации </w:t>
      </w:r>
    </w:p>
    <w:p w:rsidR="00FD77F6" w:rsidRPr="00521F4E" w:rsidRDefault="00FD77F6" w:rsidP="00FD77F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Осиновского</w:t>
      </w:r>
      <w:r w:rsidRPr="00521F4E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</w:t>
      </w:r>
    </w:p>
    <w:p w:rsidR="00FD77F6" w:rsidRDefault="00FD77F6" w:rsidP="00FD77F6">
      <w:pPr>
        <w:pStyle w:val="a3"/>
        <w:jc w:val="right"/>
        <w:rPr>
          <w:rFonts w:ascii="Times New Roman" w:hAnsi="Times New Roman"/>
          <w:lang w:val="ru-RU" w:bidi="ar-SA"/>
        </w:rPr>
      </w:pPr>
      <w:r w:rsidRPr="00521F4E">
        <w:rPr>
          <w:rFonts w:ascii="Times New Roman" w:hAnsi="Times New Roman"/>
          <w:sz w:val="24"/>
          <w:szCs w:val="24"/>
          <w:lang w:val="ru-RU"/>
        </w:rPr>
        <w:t>Марксовского района Саратовской области</w:t>
      </w:r>
      <w:r>
        <w:rPr>
          <w:rFonts w:ascii="Times New Roman" w:hAnsi="Times New Roman"/>
          <w:lang w:val="ru-RU"/>
        </w:rPr>
        <w:br/>
        <w:t>от 28.01.2022 г. № 19а-р</w:t>
      </w:r>
      <w:r w:rsidRPr="00521F4E">
        <w:rPr>
          <w:rFonts w:ascii="Times New Roman" w:hAnsi="Times New Roman"/>
          <w:lang w:val="ru-RU" w:bidi="ar-SA"/>
        </w:rPr>
        <w:t xml:space="preserve"> </w:t>
      </w:r>
    </w:p>
    <w:p w:rsidR="00FD77F6" w:rsidRPr="00521F4E" w:rsidRDefault="00FD77F6" w:rsidP="00FD77F6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40718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  <w:r w:rsidRPr="0014071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Перечень объектов, в отношении которых планируется заключение концессионных соглашений на территории 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Осиновского</w:t>
      </w:r>
      <w:r w:rsidRPr="0014071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муниципального образования Марксовского муниципального района  Саратовской области на 202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14071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год</w:t>
      </w:r>
    </w:p>
    <w:tbl>
      <w:tblPr>
        <w:tblpPr w:leftFromText="180" w:rightFromText="180" w:vertAnchor="text" w:horzAnchor="margin" w:tblpXSpec="center" w:tblpY="329"/>
        <w:tblW w:w="94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1842"/>
        <w:gridCol w:w="4395"/>
        <w:gridCol w:w="2486"/>
      </w:tblGrid>
      <w:tr w:rsidR="00FD77F6" w:rsidRPr="004C345B" w:rsidTr="006D5A40">
        <w:trPr>
          <w:cantSplit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77F6" w:rsidRDefault="00FD77F6" w:rsidP="006D5A40">
            <w:pPr>
              <w:pStyle w:val="a6"/>
              <w:ind w:left="117" w:hanging="114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4C345B" w:rsidRDefault="00FD77F6" w:rsidP="006D5A40">
            <w:pPr>
              <w:pStyle w:val="a6"/>
              <w:rPr>
                <w:sz w:val="22"/>
                <w:szCs w:val="22"/>
              </w:rPr>
            </w:pPr>
            <w:r w:rsidRPr="004C345B">
              <w:rPr>
                <w:sz w:val="22"/>
                <w:szCs w:val="22"/>
              </w:rPr>
              <w:t>Наименование                   имущества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4C345B" w:rsidRDefault="00FD77F6" w:rsidP="006D5A40">
            <w:pPr>
              <w:pStyle w:val="a6"/>
              <w:rPr>
                <w:sz w:val="22"/>
                <w:szCs w:val="22"/>
              </w:rPr>
            </w:pPr>
            <w:r w:rsidRPr="004C345B">
              <w:rPr>
                <w:sz w:val="22"/>
                <w:szCs w:val="22"/>
              </w:rPr>
              <w:t>Адрес места                            нахождения                   имущества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4C345B" w:rsidRDefault="00FD77F6" w:rsidP="006D5A40">
            <w:pPr>
              <w:pStyle w:val="a6"/>
            </w:pPr>
            <w:r w:rsidRPr="004C345B">
              <w:rPr>
                <w:sz w:val="22"/>
                <w:szCs w:val="22"/>
              </w:rPr>
              <w:t>Техническое описание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  <w:rPr>
                <w:sz w:val="22"/>
                <w:szCs w:val="22"/>
              </w:rPr>
            </w:pPr>
            <w:r w:rsidRPr="004C345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Водопроводные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сети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lang w:val="ru-RU"/>
              </w:rPr>
              <w:t>Саратовская область, Марксовский район, с. Бородаевка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Протяженность</w:t>
            </w:r>
            <w:proofErr w:type="spellEnd"/>
            <w:r w:rsidRPr="00004938">
              <w:rPr>
                <w:rFonts w:ascii="Times New Roman" w:hAnsi="Times New Roman"/>
              </w:rPr>
              <w:t xml:space="preserve"> 7800 </w:t>
            </w:r>
            <w:proofErr w:type="spellStart"/>
            <w:r w:rsidRPr="00004938">
              <w:rPr>
                <w:rFonts w:ascii="Times New Roman" w:hAnsi="Times New Roman"/>
              </w:rPr>
              <w:t>п.м</w:t>
            </w:r>
            <w:proofErr w:type="spellEnd"/>
            <w:r w:rsidRPr="00004938">
              <w:rPr>
                <w:rFonts w:ascii="Times New Roman" w:hAnsi="Times New Roman"/>
              </w:rPr>
              <w:t>.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2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Водопроводные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сети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</w:t>
            </w:r>
            <w:proofErr w:type="gramStart"/>
            <w:r w:rsidRPr="007C6331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7C6331">
              <w:rPr>
                <w:rFonts w:ascii="Times New Roman" w:hAnsi="Times New Roman"/>
                <w:lang w:val="ru-RU"/>
              </w:rPr>
              <w:t>. Филипповка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Протяженность</w:t>
            </w:r>
            <w:proofErr w:type="spellEnd"/>
            <w:r w:rsidRPr="00004938">
              <w:rPr>
                <w:rFonts w:ascii="Times New Roman" w:hAnsi="Times New Roman"/>
              </w:rPr>
              <w:t xml:space="preserve"> 4700 п. м.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3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Водопроводные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сети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</w:t>
            </w:r>
            <w:proofErr w:type="gramStart"/>
            <w:r w:rsidRPr="007C6331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7C6331">
              <w:rPr>
                <w:rFonts w:ascii="Times New Roman" w:hAnsi="Times New Roman"/>
                <w:lang w:val="ru-RU"/>
              </w:rPr>
              <w:t>. Березовка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Протяженность</w:t>
            </w:r>
            <w:proofErr w:type="spellEnd"/>
            <w:r w:rsidRPr="00004938">
              <w:rPr>
                <w:rFonts w:ascii="Times New Roman" w:hAnsi="Times New Roman"/>
              </w:rPr>
              <w:t xml:space="preserve"> 6900 </w:t>
            </w:r>
            <w:proofErr w:type="spellStart"/>
            <w:r w:rsidRPr="00004938">
              <w:rPr>
                <w:rFonts w:ascii="Times New Roman" w:hAnsi="Times New Roman"/>
              </w:rPr>
              <w:t>п.м</w:t>
            </w:r>
            <w:proofErr w:type="spellEnd"/>
            <w:r w:rsidRPr="00004938">
              <w:rPr>
                <w:rFonts w:ascii="Times New Roman" w:hAnsi="Times New Roman"/>
              </w:rPr>
              <w:t>.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Водонапорная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331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Бородаевка, ул. </w:t>
            </w:r>
            <w:proofErr w:type="spellStart"/>
            <w:r w:rsidRPr="00004938">
              <w:rPr>
                <w:rFonts w:ascii="Times New Roman" w:hAnsi="Times New Roman"/>
              </w:rPr>
              <w:t>Набережная</w:t>
            </w:r>
            <w:proofErr w:type="spell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Высота</w:t>
            </w:r>
            <w:proofErr w:type="spellEnd"/>
            <w:r w:rsidRPr="00004938">
              <w:rPr>
                <w:rFonts w:ascii="Times New Roman" w:hAnsi="Times New Roman"/>
              </w:rPr>
              <w:t xml:space="preserve"> 20 м. </w:t>
            </w:r>
            <w:proofErr w:type="spellStart"/>
            <w:r w:rsidRPr="00004938">
              <w:rPr>
                <w:rFonts w:ascii="Times New Roman" w:hAnsi="Times New Roman"/>
              </w:rPr>
              <w:t>год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постройки</w:t>
            </w:r>
            <w:proofErr w:type="spellEnd"/>
            <w:r w:rsidRPr="00004938">
              <w:rPr>
                <w:rFonts w:ascii="Times New Roman" w:hAnsi="Times New Roman"/>
              </w:rPr>
              <w:t xml:space="preserve"> 1990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5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Водонапорная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Бородаевка, ул. Почтовая, по направлению на </w:t>
            </w:r>
            <w:proofErr w:type="spellStart"/>
            <w:proofErr w:type="gramStart"/>
            <w:r w:rsidRPr="007C6331">
              <w:rPr>
                <w:rFonts w:ascii="Times New Roman" w:hAnsi="Times New Roman"/>
                <w:lang w:val="ru-RU"/>
              </w:rPr>
              <w:t>юго</w:t>
            </w:r>
            <w:proofErr w:type="spellEnd"/>
            <w:r w:rsidRPr="007C6331">
              <w:rPr>
                <w:rFonts w:ascii="Times New Roman" w:hAnsi="Times New Roman"/>
                <w:lang w:val="ru-RU"/>
              </w:rPr>
              <w:t>- восток</w:t>
            </w:r>
            <w:proofErr w:type="gram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Высота</w:t>
            </w:r>
            <w:proofErr w:type="spellEnd"/>
            <w:r w:rsidRPr="00004938">
              <w:rPr>
                <w:rFonts w:ascii="Times New Roman" w:hAnsi="Times New Roman"/>
              </w:rPr>
              <w:t xml:space="preserve"> 15 м. </w:t>
            </w:r>
            <w:proofErr w:type="spellStart"/>
            <w:r w:rsidRPr="00004938">
              <w:rPr>
                <w:rFonts w:ascii="Times New Roman" w:hAnsi="Times New Roman"/>
              </w:rPr>
              <w:t>год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постройки</w:t>
            </w:r>
            <w:proofErr w:type="spellEnd"/>
            <w:r w:rsidRPr="00004938">
              <w:rPr>
                <w:rFonts w:ascii="Times New Roman" w:hAnsi="Times New Roman"/>
              </w:rPr>
              <w:t xml:space="preserve"> 1990</w:t>
            </w:r>
          </w:p>
        </w:tc>
      </w:tr>
      <w:tr w:rsidR="00FD77F6" w:rsidRPr="004C345B" w:rsidTr="006D5A40">
        <w:trPr>
          <w:cantSplit/>
          <w:trHeight w:val="1139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6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Водонапорная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</w:t>
            </w:r>
            <w:proofErr w:type="gramStart"/>
            <w:r w:rsidRPr="007C6331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7C6331">
              <w:rPr>
                <w:rFonts w:ascii="Times New Roman" w:hAnsi="Times New Roman"/>
                <w:lang w:val="ru-RU"/>
              </w:rPr>
              <w:t>. Филипповка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Высота</w:t>
            </w:r>
            <w:proofErr w:type="spellEnd"/>
            <w:r w:rsidRPr="00004938">
              <w:rPr>
                <w:rFonts w:ascii="Times New Roman" w:hAnsi="Times New Roman"/>
              </w:rPr>
              <w:t xml:space="preserve"> 15 м </w:t>
            </w:r>
            <w:proofErr w:type="spellStart"/>
            <w:r w:rsidRPr="00004938">
              <w:rPr>
                <w:rFonts w:ascii="Times New Roman" w:hAnsi="Times New Roman"/>
              </w:rPr>
              <w:t>год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постройки</w:t>
            </w:r>
            <w:proofErr w:type="spellEnd"/>
            <w:r w:rsidRPr="00004938">
              <w:rPr>
                <w:rFonts w:ascii="Times New Roman" w:hAnsi="Times New Roman"/>
              </w:rPr>
              <w:t xml:space="preserve"> 1989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7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Водонапорная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331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  </w:t>
            </w:r>
            <w:proofErr w:type="gramStart"/>
            <w:r w:rsidRPr="007C6331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7C6331">
              <w:rPr>
                <w:rFonts w:ascii="Times New Roman" w:hAnsi="Times New Roman"/>
                <w:lang w:val="ru-RU"/>
              </w:rPr>
              <w:t xml:space="preserve">. Березовка, ул. </w:t>
            </w:r>
            <w:proofErr w:type="spellStart"/>
            <w:r w:rsidRPr="00004938">
              <w:rPr>
                <w:rFonts w:ascii="Times New Roman" w:hAnsi="Times New Roman"/>
              </w:rPr>
              <w:t>Молодежная</w:t>
            </w:r>
            <w:proofErr w:type="spell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Высота</w:t>
            </w:r>
            <w:proofErr w:type="spellEnd"/>
            <w:r w:rsidRPr="00004938">
              <w:rPr>
                <w:rFonts w:ascii="Times New Roman" w:hAnsi="Times New Roman"/>
              </w:rPr>
              <w:t xml:space="preserve"> 20м. </w:t>
            </w:r>
            <w:proofErr w:type="spellStart"/>
            <w:r w:rsidRPr="00004938">
              <w:rPr>
                <w:rFonts w:ascii="Times New Roman" w:hAnsi="Times New Roman"/>
              </w:rPr>
              <w:t>год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постройки</w:t>
            </w:r>
            <w:proofErr w:type="spellEnd"/>
            <w:r w:rsidRPr="00004938">
              <w:rPr>
                <w:rFonts w:ascii="Times New Roman" w:hAnsi="Times New Roman"/>
              </w:rPr>
              <w:t xml:space="preserve"> 1990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C92E8D" w:rsidRDefault="00FD77F6" w:rsidP="006D5A40">
            <w:pPr>
              <w:pStyle w:val="a5"/>
              <w:rPr>
                <w:sz w:val="24"/>
                <w:szCs w:val="24"/>
              </w:rPr>
            </w:pPr>
            <w:r w:rsidRPr="00C92E8D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область, Марксовский район, </w:t>
            </w:r>
            <w:proofErr w:type="gram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. Филипповка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Глубина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80 м.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постройки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1989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C92E8D" w:rsidRDefault="00FD77F6" w:rsidP="006D5A40">
            <w:pPr>
              <w:pStyle w:val="a5"/>
              <w:rPr>
                <w:sz w:val="24"/>
                <w:szCs w:val="24"/>
              </w:rPr>
            </w:pPr>
            <w:r w:rsidRPr="00C92E8D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Водонапорная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область, Марксовский  район, с. Бородаевка, ул.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spell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Глубина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80 м,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постройки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1990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C92E8D" w:rsidRDefault="00FD77F6" w:rsidP="006D5A40">
            <w:pPr>
              <w:pStyle w:val="a5"/>
              <w:rPr>
                <w:sz w:val="24"/>
                <w:szCs w:val="24"/>
              </w:rPr>
            </w:pPr>
            <w:r w:rsidRPr="00C92E8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Водопроводная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область, Марксовский район,  с. Бородаевка, ул.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Набережная</w:t>
            </w:r>
            <w:proofErr w:type="spell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Глубина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100 м.,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постройки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1990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11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Водопроводная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скважина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Саратовская область,</w:t>
            </w:r>
          </w:p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Марксовский район,</w:t>
            </w:r>
          </w:p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331">
              <w:rPr>
                <w:rFonts w:ascii="Times New Roman" w:hAnsi="Times New Roman"/>
                <w:lang w:val="ru-RU"/>
              </w:rPr>
              <w:t xml:space="preserve">с. Бородаевка, ул. </w:t>
            </w:r>
            <w:proofErr w:type="spellStart"/>
            <w:r w:rsidRPr="00004938">
              <w:rPr>
                <w:rFonts w:ascii="Times New Roman" w:hAnsi="Times New Roman"/>
              </w:rPr>
              <w:t>Набережная</w:t>
            </w:r>
            <w:proofErr w:type="spell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Глубина</w:t>
            </w:r>
            <w:proofErr w:type="spellEnd"/>
            <w:r w:rsidRPr="00004938">
              <w:rPr>
                <w:rFonts w:ascii="Times New Roman" w:hAnsi="Times New Roman"/>
              </w:rPr>
              <w:t xml:space="preserve"> 80 м., </w:t>
            </w:r>
            <w:proofErr w:type="spellStart"/>
            <w:r w:rsidRPr="00004938">
              <w:rPr>
                <w:rFonts w:ascii="Times New Roman" w:hAnsi="Times New Roman"/>
              </w:rPr>
              <w:t>год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постройки</w:t>
            </w:r>
            <w:proofErr w:type="spellEnd"/>
            <w:r w:rsidRPr="00004938">
              <w:rPr>
                <w:rFonts w:ascii="Times New Roman" w:hAnsi="Times New Roman"/>
              </w:rPr>
              <w:t xml:space="preserve"> 1990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12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Водопроводная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скважина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Саратовская область,</w:t>
            </w:r>
          </w:p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Марксовский район,</w:t>
            </w:r>
          </w:p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Березовка, ул. </w:t>
            </w:r>
            <w:proofErr w:type="spellStart"/>
            <w:r w:rsidRPr="0000493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spell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Глубина</w:t>
            </w:r>
            <w:proofErr w:type="spellEnd"/>
            <w:r w:rsidRPr="00004938">
              <w:rPr>
                <w:rFonts w:ascii="Times New Roman" w:hAnsi="Times New Roman"/>
              </w:rPr>
              <w:t xml:space="preserve"> 80 м., </w:t>
            </w:r>
            <w:proofErr w:type="spellStart"/>
            <w:r w:rsidRPr="00004938">
              <w:rPr>
                <w:rFonts w:ascii="Times New Roman" w:hAnsi="Times New Roman"/>
              </w:rPr>
              <w:t>год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постройки</w:t>
            </w:r>
            <w:proofErr w:type="spellEnd"/>
            <w:r w:rsidRPr="00004938">
              <w:rPr>
                <w:rFonts w:ascii="Times New Roman" w:hAnsi="Times New Roman"/>
              </w:rPr>
              <w:t xml:space="preserve"> 1990</w:t>
            </w:r>
          </w:p>
        </w:tc>
      </w:tr>
      <w:tr w:rsidR="00FD77F6" w:rsidRPr="004C345B" w:rsidTr="006D5A40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 w:rsidR="00FD77F6" w:rsidRPr="004C345B" w:rsidRDefault="00FD77F6" w:rsidP="006D5A40">
            <w:pPr>
              <w:pStyle w:val="a5"/>
            </w:pPr>
            <w:r w:rsidRPr="004C345B">
              <w:t>13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Водопроводная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скважина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Саратовская область,</w:t>
            </w:r>
          </w:p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Марксовский район,</w:t>
            </w:r>
          </w:p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Березовка ул. </w:t>
            </w:r>
            <w:proofErr w:type="spellStart"/>
            <w:r w:rsidRPr="0000493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spellEnd"/>
          </w:p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4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7F6" w:rsidRPr="00004938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938">
              <w:rPr>
                <w:rFonts w:ascii="Times New Roman" w:hAnsi="Times New Roman"/>
              </w:rPr>
              <w:t>Глубина</w:t>
            </w:r>
            <w:proofErr w:type="spellEnd"/>
            <w:r w:rsidRPr="00004938">
              <w:rPr>
                <w:rFonts w:ascii="Times New Roman" w:hAnsi="Times New Roman"/>
              </w:rPr>
              <w:t xml:space="preserve"> 80 м., </w:t>
            </w:r>
            <w:proofErr w:type="spellStart"/>
            <w:r w:rsidRPr="00004938">
              <w:rPr>
                <w:rFonts w:ascii="Times New Roman" w:hAnsi="Times New Roman"/>
              </w:rPr>
              <w:t>год</w:t>
            </w:r>
            <w:proofErr w:type="spellEnd"/>
            <w:r w:rsidRPr="00004938">
              <w:rPr>
                <w:rFonts w:ascii="Times New Roman" w:hAnsi="Times New Roman"/>
              </w:rPr>
              <w:t xml:space="preserve"> </w:t>
            </w:r>
            <w:proofErr w:type="spellStart"/>
            <w:r w:rsidRPr="00004938">
              <w:rPr>
                <w:rFonts w:ascii="Times New Roman" w:hAnsi="Times New Roman"/>
              </w:rPr>
              <w:t>постройки</w:t>
            </w:r>
            <w:proofErr w:type="spellEnd"/>
            <w:r w:rsidRPr="00004938">
              <w:rPr>
                <w:rFonts w:ascii="Times New Roman" w:hAnsi="Times New Roman"/>
              </w:rPr>
              <w:t xml:space="preserve"> 1990</w:t>
            </w:r>
          </w:p>
        </w:tc>
      </w:tr>
      <w:tr w:rsidR="00FD77F6" w:rsidRPr="00C92E8D" w:rsidTr="007D70A8">
        <w:trPr>
          <w:cantSplit/>
        </w:trPr>
        <w:tc>
          <w:tcPr>
            <w:tcW w:w="710" w:type="dxa"/>
            <w:tcBorders>
              <w:left w:val="single" w:sz="8" w:space="0" w:color="000000"/>
              <w:bottom w:val="single" w:sz="4" w:space="0" w:color="auto"/>
            </w:tcBorders>
          </w:tcPr>
          <w:p w:rsidR="00FD77F6" w:rsidRPr="00C92E8D" w:rsidRDefault="00FD77F6" w:rsidP="006D5A40">
            <w:pPr>
              <w:pStyle w:val="a5"/>
              <w:rPr>
                <w:sz w:val="24"/>
                <w:szCs w:val="24"/>
              </w:rPr>
            </w:pPr>
            <w:r w:rsidRPr="00C92E8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77F6" w:rsidRPr="00C92E8D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Водопроводные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43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область, Марксовский район, </w:t>
            </w:r>
            <w:proofErr w:type="gram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Каменка</w:t>
            </w:r>
            <w:proofErr w:type="gramEnd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, водопроводные сети от водонапорной  башни до потребителей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77F6" w:rsidRPr="007C6331" w:rsidRDefault="00FD77F6" w:rsidP="006D5A4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7182, 0 п.м.  балансовая стоимость3430687,00 руб., год постройки 1976-1988</w:t>
            </w:r>
          </w:p>
        </w:tc>
      </w:tr>
      <w:tr w:rsidR="007D70A8" w:rsidRPr="00C92E8D" w:rsidTr="007D70A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область. Марксовский район, примерно  в 141 м от жилого дома, находящегося по адресу: с. Каменка, ул.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Интернациональная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, д. 114,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2E8D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запад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Глубина 80 м., балансовая стоимость 163662,00 руб., год постройки 1988</w:t>
            </w:r>
          </w:p>
        </w:tc>
      </w:tr>
      <w:tr w:rsidR="007D70A8" w:rsidRPr="00C92E8D" w:rsidTr="007D70A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</w:p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область, Марксовский район, с. Каменка, примерно в 141 м. от жилого дома, находящегося по адресу: ул.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Интернациональная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, д. 114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юго-запад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Глубина 80 м., балансовая стоимость 164701,00 руб., год постройки 2003 </w:t>
            </w:r>
          </w:p>
        </w:tc>
      </w:tr>
      <w:tr w:rsidR="007D70A8" w:rsidRPr="00C92E8D" w:rsidTr="007D70A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Артезианская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скважина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область, Марксовский район, с. Каменка примерно в 327 м от нежилого здания (школы), находящегося по адресу: с. Каменка, д. 1, по направлению на </w:t>
            </w:r>
            <w:proofErr w:type="spellStart"/>
            <w:proofErr w:type="gram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северо</w:t>
            </w:r>
            <w:proofErr w:type="spellEnd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- восток</w:t>
            </w:r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Глубина 80 м., балансовая стоимость 156321,00 руб., год постройки 1969</w:t>
            </w:r>
          </w:p>
        </w:tc>
      </w:tr>
      <w:tr w:rsidR="007D70A8" w:rsidRPr="00C92E8D" w:rsidTr="007D70A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Водонапорная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башня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область, Марксовский район, с. Каменка, примерно в 327 м. от нежилого здания </w:t>
            </w:r>
            <w:proofErr w:type="gram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школы), находящегося по адресу: с. Каменка, д. 1, по направлению на </w:t>
            </w:r>
            <w:proofErr w:type="spellStart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северо</w:t>
            </w:r>
            <w:proofErr w:type="spellEnd"/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- восток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Высота 15 м., балансовая стоимость  163885,00 руб., год постройки 1969 </w:t>
            </w:r>
          </w:p>
        </w:tc>
      </w:tr>
      <w:tr w:rsidR="007D70A8" w:rsidRPr="00C92E8D" w:rsidTr="007D70A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2E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Водонапорная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башня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Саратовская область, Марксовский район, с. Каменка, примерно в 141 м от жилого дома, 12 находящегося по адресу: с. Каменка, ул.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Интернациональная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, д. 114,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2E8D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C92E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92E8D">
              <w:rPr>
                <w:rFonts w:ascii="Times New Roman" w:hAnsi="Times New Roman"/>
                <w:sz w:val="24"/>
                <w:szCs w:val="24"/>
              </w:rPr>
              <w:t>запад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Высота 29 м. балансовая стоимость321165,00 руб.,  год постройки 1988</w:t>
            </w:r>
          </w:p>
        </w:tc>
      </w:tr>
      <w:tr w:rsidR="007D70A8" w:rsidRPr="00C92E8D" w:rsidTr="007D70A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C92E8D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Водопроводные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Саратовская область, Марксовский район, п. Осиновский водопроводные сети от водонапорной башни до потребителей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11000,0 п.м., балансовая стоимость 5338973,0руб., год постройки 14976-2002</w:t>
            </w:r>
          </w:p>
        </w:tc>
      </w:tr>
      <w:tr w:rsidR="007D70A8" w:rsidRPr="00C92E8D" w:rsidTr="007D70A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D70A8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70A8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Дренажные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Саратовская область, Марксовский район, п. Осиновский, дренажные сети от дренажных насосных станций 1,2,3,4,5,6,7,8,9 до водохранилища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0A8" w:rsidRPr="007C6331" w:rsidRDefault="007D70A8" w:rsidP="007D70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331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5494,0 п.м., балансовая стоимость 3218137,00 руб., год постройки 1992</w:t>
            </w:r>
          </w:p>
        </w:tc>
      </w:tr>
    </w:tbl>
    <w:p w:rsidR="00FD77F6" w:rsidRPr="00FD77F6" w:rsidRDefault="00FD77F6" w:rsidP="00FD77F6">
      <w:pPr>
        <w:rPr>
          <w:rFonts w:ascii="Times New Roman" w:hAnsi="Times New Roman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FD77F6" w:rsidRDefault="00FD77F6" w:rsidP="00FD77F6">
      <w:pPr>
        <w:pStyle w:val="a4"/>
        <w:ind w:left="765"/>
        <w:jc w:val="center"/>
        <w:rPr>
          <w:rFonts w:ascii="Times New Roman" w:hAnsi="Times New Roman"/>
          <w:lang w:val="ru-RU"/>
        </w:rPr>
      </w:pPr>
    </w:p>
    <w:p w:rsidR="00D1377B" w:rsidRDefault="00D1377B"/>
    <w:sectPr w:rsidR="00D1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5B0"/>
    <w:multiLevelType w:val="hybridMultilevel"/>
    <w:tmpl w:val="996C3A60"/>
    <w:lvl w:ilvl="0" w:tplc="3B2ED14A">
      <w:start w:val="1"/>
      <w:numFmt w:val="decimal"/>
      <w:lvlText w:val="%1."/>
      <w:lvlJc w:val="left"/>
      <w:pPr>
        <w:ind w:left="76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7F6"/>
    <w:rsid w:val="007D70A8"/>
    <w:rsid w:val="00D1377B"/>
    <w:rsid w:val="00FD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7F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4">
    <w:name w:val="List Paragraph"/>
    <w:basedOn w:val="a"/>
    <w:uiPriority w:val="34"/>
    <w:qFormat/>
    <w:rsid w:val="00FD77F6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customStyle="1" w:styleId="a5">
    <w:name w:val="Содержимое таблицы"/>
    <w:basedOn w:val="a"/>
    <w:rsid w:val="00FD77F6"/>
    <w:pPr>
      <w:suppressLineNumber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Заголовок таблицы"/>
    <w:basedOn w:val="a5"/>
    <w:rsid w:val="00FD77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782</Words>
  <Characters>4459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3</cp:revision>
  <cp:lastPrinted>2022-03-02T05:06:00Z</cp:lastPrinted>
  <dcterms:created xsi:type="dcterms:W3CDTF">2022-03-02T04:53:00Z</dcterms:created>
  <dcterms:modified xsi:type="dcterms:W3CDTF">2022-03-02T05:07:00Z</dcterms:modified>
</cp:coreProperties>
</file>